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5506A" w14:textId="77777777" w:rsidR="00BB60F5" w:rsidRDefault="00BB60F5" w:rsidP="00BB60F5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Updated: </w:t>
      </w:r>
      <w:r w:rsidR="005B0E70">
        <w:rPr>
          <w:rFonts w:ascii="Arial" w:hAnsi="Arial" w:cs="Arial"/>
          <w:b/>
          <w:bCs/>
        </w:rPr>
        <w:t>April, 2023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BB60F5" w14:paraId="74D54E8B" w14:textId="77777777" w:rsidTr="00296766">
        <w:trPr>
          <w:trHeight w:val="261"/>
        </w:trPr>
        <w:tc>
          <w:tcPr>
            <w:tcW w:w="1696" w:type="dxa"/>
          </w:tcPr>
          <w:p w14:paraId="44FAC395" w14:textId="77777777" w:rsidR="00BB60F5" w:rsidRDefault="00BB60F5" w:rsidP="00296766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632DF322" w14:textId="77777777" w:rsidR="00BB60F5" w:rsidRDefault="00BB60F5" w:rsidP="00296766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BB60F5" w14:paraId="0A34AFE9" w14:textId="77777777" w:rsidTr="00296766">
        <w:trPr>
          <w:trHeight w:val="549"/>
        </w:trPr>
        <w:tc>
          <w:tcPr>
            <w:tcW w:w="1696" w:type="dxa"/>
          </w:tcPr>
          <w:p w14:paraId="3633199E" w14:textId="77777777" w:rsidR="00BB60F5" w:rsidRDefault="00BB60F5" w:rsidP="002967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616A8442" w14:textId="77777777" w:rsidR="00BB60F5" w:rsidRDefault="00BB60F5" w:rsidP="0029676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4E60CB37" w14:textId="77777777" w:rsidR="00BB60F5" w:rsidRDefault="00BB60F5" w:rsidP="00296766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instruct PCCO staff on what to do for an exposure to a biohazard.</w:t>
            </w:r>
          </w:p>
          <w:p w14:paraId="7260E4C1" w14:textId="77777777" w:rsidR="00BB60F5" w:rsidRPr="00050C1E" w:rsidRDefault="00BB60F5" w:rsidP="00296766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BB60F5" w14:paraId="4DCDAA04" w14:textId="77777777" w:rsidTr="00296766">
        <w:tc>
          <w:tcPr>
            <w:tcW w:w="1696" w:type="dxa"/>
          </w:tcPr>
          <w:p w14:paraId="224D316C" w14:textId="77777777" w:rsidR="00BB60F5" w:rsidRDefault="00BB60F5" w:rsidP="002967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066DC36C" w14:textId="77777777" w:rsidR="00BB60F5" w:rsidRDefault="00BB60F5" w:rsidP="0029676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BEEA8C7" w14:textId="77777777" w:rsidR="00BB60F5" w:rsidRPr="001F4550" w:rsidRDefault="00BB60F5" w:rsidP="00296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BB60F5" w14:paraId="2422A262" w14:textId="77777777" w:rsidTr="00296766">
        <w:trPr>
          <w:trHeight w:val="6098"/>
        </w:trPr>
        <w:tc>
          <w:tcPr>
            <w:tcW w:w="1696" w:type="dxa"/>
          </w:tcPr>
          <w:p w14:paraId="66003F7B" w14:textId="77777777" w:rsidR="00BB60F5" w:rsidRDefault="00BB60F5" w:rsidP="00296766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32903E55" w14:textId="77777777" w:rsidR="00BB60F5" w:rsidRDefault="00BB60F5" w:rsidP="0029676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62B404E4" w14:textId="77777777" w:rsidR="00BB60F5" w:rsidRDefault="00BB60F5" w:rsidP="00296766">
            <w:pPr>
              <w:pStyle w:val="BodyText"/>
              <w:ind w:left="-76"/>
              <w:rPr>
                <w:sz w:val="20"/>
              </w:rPr>
            </w:pPr>
            <w:r>
              <w:rPr>
                <w:sz w:val="20"/>
              </w:rPr>
              <w:t>Proper documentation and actions for an exposure involving deceased body fluid being in contact with staffs open wound or mucosa surface. Using OSHA guide lines.</w:t>
            </w:r>
          </w:p>
          <w:p w14:paraId="2F2C79A4" w14:textId="77777777" w:rsidR="00BB60F5" w:rsidRDefault="00BB60F5" w:rsidP="00296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481">
              <w:rPr>
                <w:rFonts w:ascii="Arial" w:hAnsi="Arial"/>
                <w:sz w:val="20"/>
              </w:rPr>
              <w:t>S</w:t>
            </w:r>
            <w:r w:rsidRPr="00047481">
              <w:rPr>
                <w:rFonts w:ascii="Arial" w:hAnsi="Arial" w:cs="Arial"/>
                <w:sz w:val="20"/>
                <w:szCs w:val="20"/>
              </w:rPr>
              <w:t xml:space="preserve">hould an exposure incident occur, </w:t>
            </w:r>
            <w:r>
              <w:rPr>
                <w:rFonts w:ascii="Arial" w:hAnsi="Arial" w:cs="Arial"/>
                <w:sz w:val="20"/>
                <w:szCs w:val="20"/>
              </w:rPr>
              <w:t>immediately contact Coroner or Chief Deputy Coroner.</w:t>
            </w:r>
          </w:p>
          <w:p w14:paraId="5843681C" w14:textId="77777777" w:rsidR="00BB60F5" w:rsidRDefault="00BB60F5" w:rsidP="00BB60F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Take Exposure paperwork envelope in the morgue and fill out completely.</w:t>
            </w:r>
          </w:p>
          <w:p w14:paraId="2CFDEAB7" w14:textId="77777777" w:rsidR="00BB5CA0" w:rsidRPr="00BB60F5" w:rsidRDefault="00BB5CA0" w:rsidP="00BB60F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Call </w:t>
            </w:r>
            <w:r w:rsidRPr="00BB5CA0">
              <w:rPr>
                <w:rFonts w:ascii="Arial" w:hAnsi="Arial" w:cs="Arial"/>
                <w:sz w:val="20"/>
                <w:szCs w:val="20"/>
                <w:highlight w:val="yellow"/>
              </w:rPr>
              <w:t>Summit Medical Center Lab, if the tech is confused have them check the OS book.</w:t>
            </w:r>
          </w:p>
          <w:p w14:paraId="24224194" w14:textId="77777777" w:rsidR="00BB60F5" w:rsidRDefault="00BB60F5" w:rsidP="00296766">
            <w:pPr>
              <w:ind w:left="71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3A8F19" w14:textId="77777777" w:rsidR="00BB60F5" w:rsidRDefault="00BB60F5" w:rsidP="00BB60F5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 immediate</w:t>
            </w:r>
            <w:r w:rsidRPr="00A009DD">
              <w:rPr>
                <w:rFonts w:ascii="Arial" w:hAnsi="Arial" w:cs="Arial"/>
                <w:sz w:val="20"/>
                <w:szCs w:val="20"/>
              </w:rPr>
              <w:t xml:space="preserve"> confidential medical evaluation and</w:t>
            </w:r>
            <w:r w:rsidRPr="00047481">
              <w:rPr>
                <w:rFonts w:ascii="Arial" w:hAnsi="Arial" w:cs="Arial"/>
                <w:sz w:val="20"/>
                <w:szCs w:val="20"/>
              </w:rPr>
              <w:t xml:space="preserve"> will be conducted by </w:t>
            </w:r>
            <w:r>
              <w:rPr>
                <w:rFonts w:ascii="Arial" w:hAnsi="Arial" w:cs="Arial"/>
                <w:sz w:val="20"/>
                <w:szCs w:val="20"/>
              </w:rPr>
              <w:t>either the nearest Medical Clinic or Hospital. Follow up care shall be conducted by Park County Workman’s Comp Providers or designated appropriate medical specialty.</w:t>
            </w:r>
          </w:p>
          <w:p w14:paraId="4E90A519" w14:textId="77777777" w:rsidR="00BB60F5" w:rsidRDefault="00BB60F5" w:rsidP="002967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A82F5" w14:textId="77777777" w:rsidR="00BB60F5" w:rsidRPr="00047481" w:rsidRDefault="00BB60F5" w:rsidP="00BB60F5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47481">
              <w:rPr>
                <w:rFonts w:ascii="Arial" w:hAnsi="Arial" w:cs="Arial"/>
                <w:sz w:val="20"/>
                <w:szCs w:val="20"/>
              </w:rPr>
              <w:t>Following initial first aid (clean the wound, flush eyes or</w:t>
            </w:r>
          </w:p>
          <w:p w14:paraId="7A1EA06E" w14:textId="77777777" w:rsidR="00BB60F5" w:rsidRPr="00047481" w:rsidRDefault="00BB60F5" w:rsidP="00296766">
            <w:pPr>
              <w:rPr>
                <w:rFonts w:ascii="Arial" w:hAnsi="Arial" w:cs="Arial"/>
                <w:sz w:val="20"/>
                <w:szCs w:val="20"/>
              </w:rPr>
            </w:pPr>
            <w:r w:rsidRPr="00047481">
              <w:rPr>
                <w:rFonts w:ascii="Arial" w:hAnsi="Arial" w:cs="Arial"/>
                <w:sz w:val="20"/>
                <w:szCs w:val="20"/>
              </w:rPr>
              <w:t>other mucosa membrane, etc.), the following activities will be</w:t>
            </w:r>
          </w:p>
          <w:p w14:paraId="03FD9B58" w14:textId="77777777" w:rsidR="00BB60F5" w:rsidRDefault="00BB60F5" w:rsidP="00296766">
            <w:pPr>
              <w:rPr>
                <w:rFonts w:ascii="Arial" w:hAnsi="Arial" w:cs="Arial"/>
                <w:sz w:val="20"/>
                <w:szCs w:val="20"/>
              </w:rPr>
            </w:pPr>
            <w:r w:rsidRPr="00047481">
              <w:rPr>
                <w:rFonts w:ascii="Arial" w:hAnsi="Arial" w:cs="Arial"/>
                <w:sz w:val="20"/>
                <w:szCs w:val="20"/>
              </w:rPr>
              <w:t>performed:</w:t>
            </w:r>
          </w:p>
          <w:p w14:paraId="333D2A5A" w14:textId="77777777" w:rsidR="00BB60F5" w:rsidRPr="00A009DD" w:rsidRDefault="00BB60F5" w:rsidP="00BB60F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09DD">
              <w:rPr>
                <w:rFonts w:ascii="Arial" w:hAnsi="Arial" w:cs="Arial"/>
                <w:sz w:val="20"/>
                <w:szCs w:val="20"/>
              </w:rPr>
              <w:t>Document the routes of exposure and how the exposure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9DD">
              <w:rPr>
                <w:rFonts w:ascii="Arial" w:hAnsi="Arial" w:cs="Arial"/>
                <w:sz w:val="20"/>
                <w:szCs w:val="20"/>
              </w:rPr>
              <w:t>occurred.</w:t>
            </w:r>
          </w:p>
          <w:p w14:paraId="4C8E9F0D" w14:textId="77777777" w:rsidR="00BB60F5" w:rsidRDefault="00BB60F5" w:rsidP="00BB60F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09DD">
              <w:rPr>
                <w:rFonts w:ascii="Arial" w:hAnsi="Arial" w:cs="Arial"/>
                <w:sz w:val="20"/>
                <w:szCs w:val="20"/>
              </w:rPr>
              <w:t xml:space="preserve">Identify and document the source individual </w:t>
            </w:r>
            <w:r>
              <w:rPr>
                <w:rFonts w:ascii="Arial" w:hAnsi="Arial" w:cs="Arial"/>
                <w:sz w:val="20"/>
                <w:szCs w:val="20"/>
              </w:rPr>
              <w:t>and draw a red, grey and purple tubes and transport to Summit Medical Center to be</w:t>
            </w:r>
            <w:r w:rsidRPr="00A009DD">
              <w:rPr>
                <w:rFonts w:ascii="Arial" w:hAnsi="Arial" w:cs="Arial"/>
                <w:sz w:val="20"/>
                <w:szCs w:val="20"/>
              </w:rPr>
              <w:t xml:space="preserve"> tested as soon as possible to determine HIV, HCV, and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9DD">
              <w:rPr>
                <w:rFonts w:ascii="Arial" w:hAnsi="Arial" w:cs="Arial"/>
                <w:sz w:val="20"/>
                <w:szCs w:val="20"/>
              </w:rPr>
              <w:t>HBV infectivity; document that the source individual’s test results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9DD">
              <w:rPr>
                <w:rFonts w:ascii="Arial" w:hAnsi="Arial" w:cs="Arial"/>
                <w:sz w:val="20"/>
                <w:szCs w:val="20"/>
              </w:rPr>
              <w:t>were conveyed to the employee’s health care provider.</w:t>
            </w:r>
          </w:p>
          <w:p w14:paraId="1678A631" w14:textId="77777777" w:rsidR="00BB60F5" w:rsidRDefault="00BB60F5" w:rsidP="00BB60F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09DD">
              <w:rPr>
                <w:rFonts w:ascii="Arial" w:hAnsi="Arial" w:cs="Arial"/>
                <w:sz w:val="20"/>
                <w:szCs w:val="20"/>
              </w:rPr>
              <w:t>If the source individual is already known to be HIV, HCV and/or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9DD">
              <w:rPr>
                <w:rFonts w:ascii="Arial" w:hAnsi="Arial" w:cs="Arial"/>
                <w:sz w:val="20"/>
                <w:szCs w:val="20"/>
              </w:rPr>
              <w:t>HBV positive, new testing need not be performed.</w:t>
            </w:r>
          </w:p>
          <w:p w14:paraId="2D8C71EE" w14:textId="77777777" w:rsidR="00BB60F5" w:rsidRDefault="00BB60F5" w:rsidP="00BB60F5">
            <w:pPr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 w:rsidRPr="00A009DD">
              <w:rPr>
                <w:rFonts w:ascii="Arial" w:hAnsi="Arial" w:cs="Arial"/>
                <w:sz w:val="20"/>
                <w:szCs w:val="20"/>
              </w:rPr>
              <w:t>Assure that the exposed employee is provided with the source individual’s test results and with information about applicable disclosure laws and regulations concerning the identity and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9DD">
              <w:rPr>
                <w:rFonts w:ascii="Arial" w:hAnsi="Arial" w:cs="Arial"/>
                <w:sz w:val="20"/>
                <w:szCs w:val="20"/>
              </w:rPr>
              <w:t xml:space="preserve">infectious status of the source individual </w:t>
            </w:r>
          </w:p>
          <w:p w14:paraId="7FFB7FEA" w14:textId="77777777" w:rsidR="00BB60F5" w:rsidRDefault="00BB60F5" w:rsidP="00BB60F5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009DD">
              <w:rPr>
                <w:rFonts w:ascii="Arial" w:hAnsi="Arial" w:cs="Arial"/>
                <w:sz w:val="20"/>
                <w:szCs w:val="20"/>
              </w:rPr>
              <w:t xml:space="preserve">Administration of post-exposure and evaluation and follow-up </w:t>
            </w:r>
          </w:p>
          <w:p w14:paraId="6E6726A5" w14:textId="77777777" w:rsidR="00BB60F5" w:rsidRDefault="00BB60F5" w:rsidP="00BB60F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009DD">
              <w:rPr>
                <w:rFonts w:ascii="Arial" w:hAnsi="Arial" w:cs="Arial"/>
                <w:sz w:val="20"/>
                <w:szCs w:val="20"/>
              </w:rPr>
              <w:t>escription of the employee’s job duties relevant to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9DD">
              <w:rPr>
                <w:rFonts w:ascii="Arial" w:hAnsi="Arial" w:cs="Arial"/>
                <w:sz w:val="20"/>
                <w:szCs w:val="20"/>
              </w:rPr>
              <w:t>exposure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Pr="00A009DD">
              <w:rPr>
                <w:rFonts w:ascii="Arial" w:hAnsi="Arial" w:cs="Arial"/>
                <w:sz w:val="20"/>
                <w:szCs w:val="20"/>
              </w:rPr>
              <w:t>incident</w:t>
            </w:r>
          </w:p>
          <w:p w14:paraId="064284DA" w14:textId="77777777" w:rsidR="00BB60F5" w:rsidRDefault="00BB60F5" w:rsidP="00BB60F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650B">
              <w:rPr>
                <w:rFonts w:ascii="Arial" w:hAnsi="Arial" w:cs="Arial"/>
                <w:sz w:val="20"/>
                <w:szCs w:val="20"/>
              </w:rPr>
              <w:t>route(s) of exposure</w:t>
            </w:r>
          </w:p>
          <w:p w14:paraId="40EF4AE1" w14:textId="77777777" w:rsidR="00BB60F5" w:rsidRDefault="00BB60F5" w:rsidP="00BB60F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650B">
              <w:rPr>
                <w:rFonts w:ascii="Arial" w:hAnsi="Arial" w:cs="Arial"/>
                <w:sz w:val="20"/>
                <w:szCs w:val="20"/>
              </w:rPr>
              <w:t>circumstances of exposure</w:t>
            </w:r>
          </w:p>
          <w:p w14:paraId="37186F9B" w14:textId="77777777" w:rsidR="00BB60F5" w:rsidRDefault="00BB60F5" w:rsidP="00BB60F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650B">
              <w:rPr>
                <w:rFonts w:ascii="Arial" w:hAnsi="Arial" w:cs="Arial"/>
                <w:sz w:val="20"/>
                <w:szCs w:val="20"/>
              </w:rPr>
              <w:t>if possible, results of the source individual’s blood test</w:t>
            </w:r>
          </w:p>
          <w:p w14:paraId="3F7E6D4B" w14:textId="77777777" w:rsidR="00BB60F5" w:rsidRPr="00F7650B" w:rsidRDefault="00BB60F5" w:rsidP="00BB60F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650B">
              <w:rPr>
                <w:rFonts w:ascii="Arial" w:hAnsi="Arial" w:cs="Arial"/>
                <w:sz w:val="20"/>
                <w:szCs w:val="20"/>
              </w:rPr>
              <w:t>relevant employee medical records, including vaccination status</w:t>
            </w:r>
          </w:p>
          <w:p w14:paraId="7033A3DF" w14:textId="77777777" w:rsidR="00BB60F5" w:rsidRPr="00F7650B" w:rsidRDefault="00BB60F5" w:rsidP="00BB60F5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7650B">
              <w:rPr>
                <w:rFonts w:ascii="Arial" w:hAnsi="Arial" w:cs="Arial"/>
                <w:sz w:val="20"/>
                <w:szCs w:val="20"/>
              </w:rPr>
              <w:t>Procedures for evaluating the circumstances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F7650B">
              <w:rPr>
                <w:rFonts w:ascii="Arial" w:hAnsi="Arial" w:cs="Arial"/>
                <w:sz w:val="20"/>
                <w:szCs w:val="20"/>
              </w:rPr>
              <w:t>urrounding an exposure incident</w:t>
            </w:r>
          </w:p>
          <w:p w14:paraId="082282BF" w14:textId="77777777" w:rsidR="00BB60F5" w:rsidRDefault="00BB60F5" w:rsidP="00BB60F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009DD">
              <w:rPr>
                <w:rFonts w:ascii="Arial" w:hAnsi="Arial" w:cs="Arial"/>
                <w:sz w:val="20"/>
                <w:szCs w:val="20"/>
              </w:rPr>
              <w:t>ngineering controls in use at the time</w:t>
            </w:r>
          </w:p>
          <w:p w14:paraId="2EFEA00C" w14:textId="77777777" w:rsidR="00BB60F5" w:rsidRDefault="00BB60F5" w:rsidP="00BB60F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7650B">
              <w:rPr>
                <w:rFonts w:ascii="Arial" w:hAnsi="Arial" w:cs="Arial"/>
                <w:sz w:val="20"/>
                <w:szCs w:val="20"/>
              </w:rPr>
              <w:t>ork practices followed</w:t>
            </w:r>
          </w:p>
          <w:p w14:paraId="794EAAD9" w14:textId="77777777" w:rsidR="00BB60F5" w:rsidRDefault="00BB60F5" w:rsidP="00BB60F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7650B">
              <w:rPr>
                <w:rFonts w:ascii="Arial" w:hAnsi="Arial" w:cs="Arial"/>
                <w:sz w:val="20"/>
                <w:szCs w:val="20"/>
              </w:rPr>
              <w:t xml:space="preserve"> description of the device being used (including type and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650B">
              <w:rPr>
                <w:rFonts w:ascii="Arial" w:hAnsi="Arial" w:cs="Arial"/>
                <w:sz w:val="20"/>
                <w:szCs w:val="20"/>
              </w:rPr>
              <w:t>brand)</w:t>
            </w:r>
          </w:p>
          <w:p w14:paraId="59FD3367" w14:textId="77777777" w:rsidR="00BB60F5" w:rsidRDefault="00BB60F5" w:rsidP="00BB60F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7650B">
              <w:rPr>
                <w:rFonts w:ascii="Arial" w:hAnsi="Arial" w:cs="Arial"/>
                <w:sz w:val="20"/>
                <w:szCs w:val="20"/>
              </w:rPr>
              <w:t>Protective equipment or clothing that was used at the time of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650B">
              <w:rPr>
                <w:rFonts w:ascii="Arial" w:hAnsi="Arial" w:cs="Arial"/>
                <w:sz w:val="20"/>
                <w:szCs w:val="20"/>
              </w:rPr>
              <w:t>the exposure incident (gloves, eye shields, etc.)</w:t>
            </w:r>
          </w:p>
          <w:p w14:paraId="61A9D7E6" w14:textId="77777777" w:rsidR="00BB60F5" w:rsidRDefault="00BB60F5" w:rsidP="00BB60F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7650B">
              <w:rPr>
                <w:rFonts w:ascii="Arial" w:hAnsi="Arial" w:cs="Arial"/>
                <w:sz w:val="20"/>
                <w:szCs w:val="20"/>
              </w:rPr>
              <w:t>ocation of the incident</w:t>
            </w:r>
            <w:r>
              <w:rPr>
                <w:rFonts w:ascii="Arial" w:hAnsi="Arial" w:cs="Arial"/>
                <w:sz w:val="20"/>
                <w:szCs w:val="20"/>
              </w:rPr>
              <w:t xml:space="preserve"> (scene, morgue, autopsy,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F7650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BCC7875" w14:textId="77777777" w:rsidR="00BB60F5" w:rsidRDefault="00BB60F5" w:rsidP="00BB60F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7650B">
              <w:rPr>
                <w:rFonts w:ascii="Arial" w:hAnsi="Arial" w:cs="Arial"/>
                <w:sz w:val="20"/>
                <w:szCs w:val="20"/>
              </w:rPr>
              <w:t>rocedure being performed when the incident occurred</w:t>
            </w:r>
          </w:p>
          <w:p w14:paraId="7E35FB8A" w14:textId="77777777" w:rsidR="00BB60F5" w:rsidRPr="00F7650B" w:rsidRDefault="00BB60F5" w:rsidP="00BB60F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F7650B">
              <w:rPr>
                <w:rFonts w:ascii="Arial" w:hAnsi="Arial" w:cs="Arial"/>
                <w:sz w:val="20"/>
                <w:szCs w:val="20"/>
              </w:rPr>
              <w:t>mployee’s training</w:t>
            </w:r>
            <w:r>
              <w:rPr>
                <w:rFonts w:ascii="Arial" w:hAnsi="Arial" w:cs="Arial"/>
                <w:sz w:val="20"/>
                <w:szCs w:val="20"/>
              </w:rPr>
              <w:t xml:space="preserve"> file</w:t>
            </w:r>
          </w:p>
          <w:p w14:paraId="77FFD191" w14:textId="77777777" w:rsidR="00BB60F5" w:rsidRPr="00A009DD" w:rsidRDefault="00BB60F5" w:rsidP="00296766">
            <w:pPr>
              <w:pStyle w:val="ListParagraph"/>
              <w:rPr>
                <w:rFonts w:ascii="Arial" w:hAnsi="Arial"/>
                <w:sz w:val="20"/>
                <w:szCs w:val="20"/>
              </w:rPr>
            </w:pPr>
          </w:p>
          <w:p w14:paraId="2C17B25F" w14:textId="77777777" w:rsidR="00BB60F5" w:rsidRPr="001F4550" w:rsidRDefault="00BB60F5" w:rsidP="00296766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BB60F5" w14:paraId="4C11FC40" w14:textId="77777777" w:rsidTr="00296766">
        <w:tc>
          <w:tcPr>
            <w:tcW w:w="1696" w:type="dxa"/>
          </w:tcPr>
          <w:p w14:paraId="5FBC4219" w14:textId="77777777" w:rsidR="00BB60F5" w:rsidRDefault="00BB60F5" w:rsidP="00296766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4409146" w14:textId="77777777" w:rsidR="00BB60F5" w:rsidRPr="00F80A91" w:rsidRDefault="00BB60F5" w:rsidP="00296766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69070A93" w14:textId="77777777" w:rsidR="00BB60F5" w:rsidRDefault="00BB60F5" w:rsidP="00BB60F5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4E2D95C0" w14:textId="77777777" w:rsidR="00BC6ADF" w:rsidRPr="00BB60F5" w:rsidRDefault="00BB60F5" w:rsidP="00BB60F5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r>
        <w:rPr>
          <w:rFonts w:ascii="Arial" w:hAnsi="Arial" w:cs="Arial"/>
          <w:sz w:val="16"/>
        </w:rPr>
        <w:t>Park County Coroner</w:t>
      </w:r>
    </w:p>
    <w:sectPr w:rsidR="00BC6ADF" w:rsidRPr="00BB60F5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1D05C" w14:textId="77777777" w:rsidR="003C4CC0" w:rsidRDefault="00BB5CA0">
      <w:r>
        <w:separator/>
      </w:r>
    </w:p>
  </w:endnote>
  <w:endnote w:type="continuationSeparator" w:id="0">
    <w:p w14:paraId="25B33BA8" w14:textId="77777777" w:rsidR="003C4CC0" w:rsidRDefault="00BB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0FC8" w14:textId="77777777" w:rsidR="0003092B" w:rsidRDefault="00BB60F5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43277" w14:textId="77777777" w:rsidR="003C4CC0" w:rsidRDefault="00BB5CA0">
      <w:r>
        <w:separator/>
      </w:r>
    </w:p>
  </w:footnote>
  <w:footnote w:type="continuationSeparator" w:id="0">
    <w:p w14:paraId="7DC0CBA7" w14:textId="77777777" w:rsidR="003C4CC0" w:rsidRDefault="00BB5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29F6A" w14:textId="77777777" w:rsidR="0003092B" w:rsidRDefault="00BB60F5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4A1A929A" w14:textId="77777777" w:rsidR="0003092B" w:rsidRDefault="0003092B">
    <w:pPr>
      <w:pStyle w:val="Title"/>
      <w:rPr>
        <w:sz w:val="22"/>
      </w:rPr>
    </w:pPr>
  </w:p>
  <w:p w14:paraId="787709C4" w14:textId="77777777" w:rsidR="0003092B" w:rsidRDefault="0003092B">
    <w:pPr>
      <w:pStyle w:val="Title"/>
      <w:rPr>
        <w:sz w:val="22"/>
      </w:rPr>
    </w:pPr>
  </w:p>
  <w:p w14:paraId="09BE8CA8" w14:textId="77777777" w:rsidR="0003092B" w:rsidRPr="00332EA4" w:rsidRDefault="00BB60F5">
    <w:pPr>
      <w:pStyle w:val="Title"/>
      <w:rPr>
        <w:sz w:val="22"/>
        <w:u w:val="single"/>
      </w:rPr>
    </w:pPr>
    <w:r>
      <w:rPr>
        <w:sz w:val="22"/>
        <w:u w:val="single"/>
      </w:rPr>
      <w:t>Exposure to Biohazard</w:t>
    </w:r>
  </w:p>
  <w:p w14:paraId="6E26C499" w14:textId="77777777" w:rsidR="0003092B" w:rsidRDefault="0003092B">
    <w:pPr>
      <w:pStyle w:val="Title"/>
      <w:rPr>
        <w:sz w:val="22"/>
      </w:rPr>
    </w:pPr>
  </w:p>
  <w:p w14:paraId="60510AEE" w14:textId="77777777" w:rsidR="0003092B" w:rsidRPr="002F6995" w:rsidRDefault="0003092B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831C4"/>
    <w:multiLevelType w:val="hybridMultilevel"/>
    <w:tmpl w:val="49444AC2"/>
    <w:lvl w:ilvl="0" w:tplc="AC3867B0">
      <w:start w:val="1"/>
      <w:numFmt w:val="lowerLetter"/>
      <w:lvlText w:val="%1."/>
      <w:lvlJc w:val="left"/>
      <w:pPr>
        <w:ind w:left="12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9" w:hanging="360"/>
      </w:pPr>
    </w:lvl>
    <w:lvl w:ilvl="2" w:tplc="0409001B" w:tentative="1">
      <w:start w:val="1"/>
      <w:numFmt w:val="lowerRoman"/>
      <w:lvlText w:val="%3."/>
      <w:lvlJc w:val="right"/>
      <w:pPr>
        <w:ind w:left="2729" w:hanging="180"/>
      </w:pPr>
    </w:lvl>
    <w:lvl w:ilvl="3" w:tplc="0409000F" w:tentative="1">
      <w:start w:val="1"/>
      <w:numFmt w:val="decimal"/>
      <w:lvlText w:val="%4."/>
      <w:lvlJc w:val="left"/>
      <w:pPr>
        <w:ind w:left="3449" w:hanging="360"/>
      </w:pPr>
    </w:lvl>
    <w:lvl w:ilvl="4" w:tplc="04090019" w:tentative="1">
      <w:start w:val="1"/>
      <w:numFmt w:val="lowerLetter"/>
      <w:lvlText w:val="%5."/>
      <w:lvlJc w:val="left"/>
      <w:pPr>
        <w:ind w:left="4169" w:hanging="360"/>
      </w:pPr>
    </w:lvl>
    <w:lvl w:ilvl="5" w:tplc="0409001B" w:tentative="1">
      <w:start w:val="1"/>
      <w:numFmt w:val="lowerRoman"/>
      <w:lvlText w:val="%6."/>
      <w:lvlJc w:val="right"/>
      <w:pPr>
        <w:ind w:left="4889" w:hanging="180"/>
      </w:pPr>
    </w:lvl>
    <w:lvl w:ilvl="6" w:tplc="0409000F" w:tentative="1">
      <w:start w:val="1"/>
      <w:numFmt w:val="decimal"/>
      <w:lvlText w:val="%7."/>
      <w:lvlJc w:val="left"/>
      <w:pPr>
        <w:ind w:left="5609" w:hanging="360"/>
      </w:pPr>
    </w:lvl>
    <w:lvl w:ilvl="7" w:tplc="04090019" w:tentative="1">
      <w:start w:val="1"/>
      <w:numFmt w:val="lowerLetter"/>
      <w:lvlText w:val="%8."/>
      <w:lvlJc w:val="left"/>
      <w:pPr>
        <w:ind w:left="6329" w:hanging="360"/>
      </w:pPr>
    </w:lvl>
    <w:lvl w:ilvl="8" w:tplc="040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" w15:restartNumberingAfterBreak="0">
    <w:nsid w:val="5F254628"/>
    <w:multiLevelType w:val="hybridMultilevel"/>
    <w:tmpl w:val="F67A6D48"/>
    <w:lvl w:ilvl="0" w:tplc="575E1FF8">
      <w:start w:val="1"/>
      <w:numFmt w:val="low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7D9C1B3C"/>
    <w:multiLevelType w:val="hybridMultilevel"/>
    <w:tmpl w:val="507E6B04"/>
    <w:lvl w:ilvl="0" w:tplc="45C63C28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1906257956">
    <w:abstractNumId w:val="2"/>
  </w:num>
  <w:num w:numId="2" w16cid:durableId="2040542994">
    <w:abstractNumId w:val="3"/>
  </w:num>
  <w:num w:numId="3" w16cid:durableId="12339768">
    <w:abstractNumId w:val="0"/>
  </w:num>
  <w:num w:numId="4" w16cid:durableId="229925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0F5"/>
    <w:rsid w:val="0003092B"/>
    <w:rsid w:val="003C4CC0"/>
    <w:rsid w:val="005B0E70"/>
    <w:rsid w:val="00BB5CA0"/>
    <w:rsid w:val="00BB60F5"/>
    <w:rsid w:val="00BC6ADF"/>
    <w:rsid w:val="00CA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16A89FA0"/>
  <w15:docId w15:val="{2294208E-2790-4788-8781-37670FC5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60F5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60F5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BB60F5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BB60F5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BB60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B60F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BB60F5"/>
  </w:style>
  <w:style w:type="paragraph" w:styleId="BodyText">
    <w:name w:val="Body Text"/>
    <w:basedOn w:val="Normal"/>
    <w:link w:val="BodyTextChar"/>
    <w:semiHidden/>
    <w:rsid w:val="00BB60F5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B60F5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BB60F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C86E8F-1479-446E-86D0-59269EB6E946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8ef27eb8-0e3d-496f-b523-771757bdd770"/>
    <ds:schemaRef ds:uri="8416942f-d982-4ba4-a5b0-104826b4be2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8CD47D3-CD8D-4E1A-98DB-8D2108E5C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CD5E9-B19E-421B-BFCE-56027CBCC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2175</Characters>
  <Application>Microsoft Office Word</Application>
  <DocSecurity>0</DocSecurity>
  <Lines>18</Lines>
  <Paragraphs>5</Paragraphs>
  <ScaleCrop>false</ScaleCrop>
  <Company>Microsoft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Kintz Jr</dc:creator>
  <cp:lastModifiedBy>Chisholm, Yujiemi</cp:lastModifiedBy>
  <cp:revision>2</cp:revision>
  <dcterms:created xsi:type="dcterms:W3CDTF">2025-07-15T18:17:00Z</dcterms:created>
  <dcterms:modified xsi:type="dcterms:W3CDTF">2025-07-15T18:17:00Z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